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F7" w:rsidRDefault="00EF39F7" w:rsidP="00EF39F7"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：</w:t>
      </w:r>
    </w:p>
    <w:p w:rsidR="00741409" w:rsidRDefault="00EF39F7" w:rsidP="00EF39F7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“高校教师专业发展与教育教学能力提升”</w:t>
      </w:r>
    </w:p>
    <w:p w:rsidR="00EF39F7" w:rsidRDefault="00EF39F7" w:rsidP="00EF39F7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专题网络培训课程表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3120"/>
        <w:gridCol w:w="952"/>
        <w:gridCol w:w="3215"/>
      </w:tblGrid>
      <w:tr w:rsidR="00EF39F7" w:rsidTr="00323186">
        <w:trPr>
          <w:trHeight w:val="570"/>
          <w:tblHeader/>
          <w:jc w:val="center"/>
        </w:trPr>
        <w:tc>
          <w:tcPr>
            <w:tcW w:w="1241" w:type="dxa"/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课程模块</w:t>
            </w:r>
          </w:p>
        </w:tc>
        <w:tc>
          <w:tcPr>
            <w:tcW w:w="3120" w:type="dxa"/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952" w:type="dxa"/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215" w:type="dxa"/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职务职称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 w:val="restart"/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教育改革与发展</w:t>
            </w:r>
          </w:p>
        </w:tc>
        <w:tc>
          <w:tcPr>
            <w:tcW w:w="3120" w:type="dxa"/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以新的发展理念为引领开创教育改革发展新局面</w:t>
            </w:r>
          </w:p>
        </w:tc>
        <w:tc>
          <w:tcPr>
            <w:tcW w:w="952" w:type="dxa"/>
            <w:tcBorders>
              <w:left w:val="nil"/>
            </w:tcBorders>
            <w:vAlign w:val="center"/>
          </w:tcPr>
          <w:p w:rsidR="00EF39F7" w:rsidRDefault="00EF39F7" w:rsidP="0032318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袁贵仁</w:t>
            </w:r>
          </w:p>
        </w:tc>
        <w:tc>
          <w:tcPr>
            <w:tcW w:w="3215" w:type="dxa"/>
            <w:tcBorders>
              <w:left w:val="nil"/>
            </w:tcBorders>
            <w:vAlign w:val="center"/>
          </w:tcPr>
          <w:p w:rsidR="00EF39F7" w:rsidRDefault="00EF39F7" w:rsidP="0032318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教育部部长、党组书记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信息技术发展与教育变革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李志民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教育部科技发展中心主任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“互联网</w:t>
            </w:r>
            <w:r>
              <w:rPr>
                <w:rFonts w:ascii="仿宋" w:eastAsia="仿宋" w:hAnsi="仿宋" w:cs="仿宋"/>
                <w:kern w:val="0"/>
                <w:sz w:val="24"/>
              </w:rPr>
              <w:t>+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”背景下创新创业教育</w:t>
            </w:r>
            <w:r>
              <w:rPr>
                <w:rFonts w:ascii="仿宋" w:eastAsia="仿宋" w:hAnsi="仿宋" w:cs="仿宋"/>
                <w:kern w:val="0"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产教融合视角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马德富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新道科技股份有限公司高级副总裁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迎接明天的高等教育</w:t>
            </w:r>
            <w:r>
              <w:rPr>
                <w:rFonts w:ascii="仿宋" w:eastAsia="仿宋" w:hAnsi="仿宋" w:cs="仿宋"/>
                <w:kern w:val="0"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“世界一流大学”的启示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程介明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香港大学教育学院荣休教授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关于高等教育人才培养的问题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龚克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南开大学校长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 w:val="restart"/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教学理念与方法</w:t>
            </w:r>
          </w:p>
        </w:tc>
        <w:tc>
          <w:tcPr>
            <w:tcW w:w="3120" w:type="dxa"/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理解教与学：高校教学策略与教学评价</w:t>
            </w:r>
          </w:p>
        </w:tc>
        <w:tc>
          <w:tcPr>
            <w:tcW w:w="952" w:type="dxa"/>
            <w:tcBorders>
              <w:left w:val="nil"/>
            </w:tcBorders>
            <w:vAlign w:val="center"/>
          </w:tcPr>
          <w:p w:rsidR="00EF39F7" w:rsidRDefault="00EF39F7" w:rsidP="0032318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孙建荣</w:t>
            </w:r>
          </w:p>
        </w:tc>
        <w:tc>
          <w:tcPr>
            <w:tcW w:w="3215" w:type="dxa"/>
            <w:tcBorders>
              <w:left w:val="nil"/>
            </w:tcBorders>
            <w:vAlign w:val="center"/>
          </w:tcPr>
          <w:p w:rsidR="00EF39F7" w:rsidRDefault="00EF39F7" w:rsidP="0032318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澳门科技大学国际学院院长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学习方式与有效教学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姚梅林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北京师范大学心理学院教授</w:t>
            </w:r>
          </w:p>
        </w:tc>
      </w:tr>
      <w:tr w:rsidR="00EF39F7" w:rsidTr="00323186">
        <w:trPr>
          <w:trHeight w:val="624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专业教育：从经验走向科学从粗放走向精细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蒋宗礼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北京工业大学教师教学发展中心工作委员会主任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通识教育的实践与反思</w:t>
            </w:r>
            <w:r>
              <w:rPr>
                <w:rFonts w:ascii="仿宋" w:eastAsia="仿宋" w:hAnsi="仿宋" w:cs="仿宋"/>
                <w:kern w:val="0"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以中国人民大学为例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洪大用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中国人民大学副校长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理念与策略：面向两创的中国高校创业教育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徐小洲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浙江大学教育学院院长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创新创业教育的教学和培训技法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郑友取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浙江科技学院教授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微课设计与制作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杨上影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广西师范学院现代教育技术中心副主任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 w:val="restart"/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教学管理与评价</w:t>
            </w: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熟悉实务全面做好本科教学管理工作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张树永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山东大学教学促进与教师发展中心主任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以专业认证为抓手，促进二级学院教学管理规范化</w:t>
            </w:r>
            <w:r>
              <w:rPr>
                <w:rFonts w:ascii="仿宋" w:eastAsia="仿宋" w:hAnsi="仿宋" w:cs="仿宋"/>
                <w:kern w:val="0"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以新建应用本科高校为对象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江吉彬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福建工程学院机械与汽车工程学院院长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互联网</w:t>
            </w:r>
            <w:r>
              <w:rPr>
                <w:rFonts w:ascii="仿宋" w:eastAsia="仿宋" w:hAnsi="仿宋" w:cs="仿宋"/>
                <w:kern w:val="0"/>
                <w:sz w:val="24"/>
              </w:rPr>
              <w:t>+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课堂的变革</w:t>
            </w:r>
            <w:r>
              <w:rPr>
                <w:rFonts w:ascii="仿宋" w:eastAsia="仿宋" w:hAnsi="仿宋" w:cs="仿宋"/>
                <w:kern w:val="0"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西南交通大学的改革与实践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冯晓云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西南交通大学党委常委、副校长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高校课堂教学评价的理论与方法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刘振天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教育部高等教育教学评估中心院校教学评估处处长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全球化时代的学习革命与本科教育质量评价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史静寰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清华大学教育研究院副院长</w:t>
            </w:r>
          </w:p>
        </w:tc>
      </w:tr>
      <w:tr w:rsidR="00EF39F7" w:rsidTr="00323186">
        <w:trPr>
          <w:trHeight w:val="826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优化学生学习经历提高人才服务质量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陆根书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西安交通大学高等教育研究所所长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大学生常见心理问题及辅导策略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崔丽霞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首都师范大学教育学院心理学系教授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 w:val="restart"/>
            <w:vAlign w:val="center"/>
          </w:tcPr>
          <w:p w:rsidR="00EF39F7" w:rsidRDefault="00EF39F7" w:rsidP="00323186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职业规划与发展</w:t>
            </w: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大学教师发展的理念、内涵、方式、动力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潘懋元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厦门大学教授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高校青年教师职业规划与健康成长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刘平青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北京理工大学管理与经济学院院长助理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名师发展规律与成长路径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王毓珣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天津市教育科学研究院教授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美国大学价值观教育及教师的责任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王晓阳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清华大学教育研究院高等教育研究所所长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如何有效开展调查研究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廉思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对外经济贸易大学教授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如何在各类科研基金课题申报中取得成功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赵醒村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南方科技大学科技处副处长</w:t>
            </w:r>
          </w:p>
        </w:tc>
      </w:tr>
      <w:tr w:rsidR="00EF39F7" w:rsidTr="00323186">
        <w:trPr>
          <w:trHeight w:val="285"/>
          <w:jc w:val="center"/>
        </w:trPr>
        <w:tc>
          <w:tcPr>
            <w:tcW w:w="1241" w:type="dxa"/>
            <w:vMerge/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EF39F7" w:rsidRDefault="00EF39F7" w:rsidP="0032318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教师工作压力的认识和管理</w:t>
            </w:r>
          </w:p>
        </w:tc>
        <w:tc>
          <w:tcPr>
            <w:tcW w:w="952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伍新春</w:t>
            </w:r>
          </w:p>
        </w:tc>
        <w:tc>
          <w:tcPr>
            <w:tcW w:w="3215" w:type="dxa"/>
            <w:tcBorders>
              <w:top w:val="nil"/>
              <w:left w:val="nil"/>
            </w:tcBorders>
            <w:vAlign w:val="center"/>
          </w:tcPr>
          <w:p w:rsidR="00EF39F7" w:rsidRDefault="00EF39F7" w:rsidP="0032318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北京师范大学心理学院教授</w:t>
            </w:r>
          </w:p>
        </w:tc>
      </w:tr>
    </w:tbl>
    <w:p w:rsidR="00EF39F7" w:rsidRDefault="00EF39F7" w:rsidP="00EF39F7">
      <w:pPr>
        <w:pStyle w:val="00"/>
        <w:ind w:firstLineChars="0" w:firstLine="0"/>
        <w:rPr>
          <w:rFonts w:ascii="楷体" w:eastAsia="楷体" w:hAnsi="楷体" w:cs="楷体"/>
          <w:color w:val="auto"/>
        </w:rPr>
      </w:pPr>
      <w:r>
        <w:rPr>
          <w:rFonts w:ascii="楷体" w:eastAsia="楷体" w:hAnsi="楷体" w:cs="楷体" w:hint="eastAsia"/>
          <w:b/>
          <w:bCs/>
          <w:color w:val="auto"/>
        </w:rPr>
        <w:t>注：</w:t>
      </w:r>
      <w:r>
        <w:rPr>
          <w:rFonts w:ascii="楷体" w:eastAsia="楷体" w:hAnsi="楷体" w:cs="楷体" w:hint="eastAsia"/>
          <w:color w:val="auto"/>
        </w:rPr>
        <w:t>个别课程或稍有调整，请以平台最终发布课程为准。</w:t>
      </w:r>
    </w:p>
    <w:p w:rsidR="00EF39F7" w:rsidRDefault="00EF39F7" w:rsidP="00EF39F7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EF39F7" w:rsidRDefault="00EF39F7" w:rsidP="00EF39F7">
      <w:pPr>
        <w:spacing w:line="360" w:lineRule="auto"/>
        <w:rPr>
          <w:rFonts w:ascii="楷体" w:eastAsia="楷体" w:hAnsi="楷体" w:cs="楷体"/>
        </w:rPr>
      </w:pPr>
    </w:p>
    <w:p w:rsidR="00425115" w:rsidRPr="00EF39F7" w:rsidRDefault="00425115"/>
    <w:sectPr w:rsidR="00425115" w:rsidRPr="00EF39F7" w:rsidSect="00356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C2" w:rsidRDefault="00E65BC2" w:rsidP="00B97FC2">
      <w:r>
        <w:separator/>
      </w:r>
    </w:p>
  </w:endnote>
  <w:endnote w:type="continuationSeparator" w:id="1">
    <w:p w:rsidR="00E65BC2" w:rsidRDefault="00E65BC2" w:rsidP="00B9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0A" w:rsidRDefault="00E65B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0A" w:rsidRDefault="00B97FC2">
    <w:pPr>
      <w:pStyle w:val="a3"/>
      <w:jc w:val="center"/>
    </w:pPr>
    <w:r>
      <w:fldChar w:fldCharType="begin"/>
    </w:r>
    <w:r w:rsidR="00425115">
      <w:instrText xml:space="preserve"> PAGE   \* MERGEFORMAT </w:instrText>
    </w:r>
    <w:r>
      <w:fldChar w:fldCharType="separate"/>
    </w:r>
    <w:r w:rsidR="00741409">
      <w:rPr>
        <w:noProof/>
      </w:rPr>
      <w:t>3</w:t>
    </w:r>
    <w:r>
      <w:fldChar w:fldCharType="end"/>
    </w:r>
  </w:p>
  <w:p w:rsidR="00356C0A" w:rsidRDefault="00E65BC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0A" w:rsidRDefault="00E65B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C2" w:rsidRDefault="00E65BC2" w:rsidP="00B97FC2">
      <w:r>
        <w:separator/>
      </w:r>
    </w:p>
  </w:footnote>
  <w:footnote w:type="continuationSeparator" w:id="1">
    <w:p w:rsidR="00E65BC2" w:rsidRDefault="00E65BC2" w:rsidP="00B97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0A" w:rsidRDefault="00E65B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0A" w:rsidRDefault="00E65BC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0A" w:rsidRDefault="00E65B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9F7"/>
    <w:rsid w:val="00425115"/>
    <w:rsid w:val="00741409"/>
    <w:rsid w:val="00B97FC2"/>
    <w:rsid w:val="00E65BC2"/>
    <w:rsid w:val="00EF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F3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F39F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F3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F39F7"/>
    <w:rPr>
      <w:rFonts w:ascii="Calibri" w:eastAsia="宋体" w:hAnsi="Calibri" w:cs="Times New Roman"/>
      <w:sz w:val="18"/>
      <w:szCs w:val="18"/>
    </w:rPr>
  </w:style>
  <w:style w:type="character" w:customStyle="1" w:styleId="00CharChar">
    <w:name w:val="00正文 Char Char"/>
    <w:link w:val="00"/>
    <w:uiPriority w:val="99"/>
    <w:qFormat/>
    <w:locked/>
    <w:rsid w:val="00EF39F7"/>
    <w:rPr>
      <w:rFonts w:ascii="仿宋_GB2312" w:eastAsia="仿宋_GB2312" w:hAnsi="宋体"/>
      <w:color w:val="000000"/>
      <w:sz w:val="24"/>
    </w:rPr>
  </w:style>
  <w:style w:type="paragraph" w:customStyle="1" w:styleId="00">
    <w:name w:val="00正文"/>
    <w:basedOn w:val="a"/>
    <w:link w:val="00CharChar"/>
    <w:uiPriority w:val="99"/>
    <w:qFormat/>
    <w:rsid w:val="00EF39F7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931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2016-08-30T02:38:00Z</dcterms:created>
  <dcterms:modified xsi:type="dcterms:W3CDTF">2016-08-30T02:39:00Z</dcterms:modified>
</cp:coreProperties>
</file>